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Cuadro clasificatorio de acuerdo con nuestro interés</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848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299"/>
        <w:gridCol w:w="2189"/>
        <w:tblGridChange w:id="0">
          <w:tblGrid>
            <w:gridCol w:w="6299"/>
            <w:gridCol w:w="218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ESCUELAS </w:t>
            </w:r>
            <w:r w:rsidDel="00000000" w:rsidR="00000000" w:rsidRPr="00000000">
              <w:rPr>
                <w:rFonts w:ascii="Times New Roman" w:cs="Times New Roman" w:eastAsia="Times New Roman" w:hAnsi="Times New Roman"/>
                <w:b w:val="1"/>
                <w:sz w:val="24"/>
                <w:szCs w:val="24"/>
                <w:u w:val="single"/>
                <w:rtl w:val="0"/>
              </w:rPr>
              <w:t xml:space="preserve">NO</w:t>
            </w:r>
            <w:r w:rsidDel="00000000" w:rsidR="00000000" w:rsidRPr="00000000">
              <w:rPr>
                <w:rFonts w:ascii="Times New Roman" w:cs="Times New Roman" w:eastAsia="Times New Roman" w:hAnsi="Times New Roman"/>
                <w:b w:val="1"/>
                <w:sz w:val="24"/>
                <w:szCs w:val="24"/>
                <w:rtl w:val="0"/>
              </w:rPr>
              <w:t xml:space="preserve"> CUESTIONADORAS</w:t>
            </w:r>
          </w:p>
        </w:tc>
        <w:tc>
          <w:tcPr>
            <w:tcBorders>
              <w:top w:color="000000" w:space="0" w:sz="6" w:val="single"/>
              <w:left w:color="000000" w:space="0" w:sz="0" w:val="nil"/>
              <w:bottom w:color="000000" w:space="0" w:sz="6" w:val="single"/>
              <w:right w:color="000000" w:space="0" w:sz="6" w:val="single"/>
            </w:tcBorders>
            <w:shd w:fill="ffffff" w:val="clear"/>
          </w:tcPr>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ESCUELAS CUESTIONADORAS</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Contractualista o Clásica (Kant, Hegel, Marat, etc.)</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Teoría crítica</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Positivismo  </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Minimalismo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Antropologia crimininal</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Abolicionismo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Teoria de la prevencion especial</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Latinoamericana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Sociológicas (Marx, Durkheim, Merton, Escuela de Chicago, etc.)</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Feminista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¿LABELLING APROACH?</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 </w:t>
            </w:r>
          </w:p>
        </w:tc>
      </w:tr>
    </w:tbl>
    <w:p w:rsidR="00000000" w:rsidDel="00000000" w:rsidP="00000000" w:rsidRDefault="00000000" w:rsidRPr="00000000" w14:paraId="00000011">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Principales diferencias entre las escuelas </w:t>
      </w:r>
    </w:p>
    <w:tbl>
      <w:tblPr>
        <w:tblStyle w:val="Table2"/>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rPr>
          <w:cantSplit w:val="0"/>
          <w:tblHeader w:val="0"/>
        </w:trPr>
        <w:tc>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Escuela Clásica</w:t>
            </w:r>
          </w:p>
        </w:tc>
        <w:tc>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Escuela Positivista</w:t>
            </w:r>
          </w:p>
        </w:tc>
        <w:tc>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Escuelas Sociológicas</w:t>
            </w:r>
          </w:p>
        </w:tc>
      </w:tr>
      <w:tr>
        <w:trPr>
          <w:cantSplit w:val="0"/>
          <w:tblHeader w:val="0"/>
        </w:trPr>
        <w:tc>
          <w:tcPr/>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centra en el estudio del delito (como acto)</w:t>
            </w:r>
          </w:p>
        </w:tc>
        <w:tc>
          <w:tcPr/>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centra en el estudio del delincuente (las causas) </w:t>
            </w:r>
          </w:p>
        </w:tc>
        <w:tc>
          <w:tcPr/>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centra en el estudio de la sociedad</w:t>
            </w:r>
          </w:p>
        </w:tc>
      </w:tr>
      <w:tr>
        <w:trPr>
          <w:cantSplit w:val="0"/>
          <w:tblHeader w:val="0"/>
        </w:trPr>
        <w:tc>
          <w:tcPr/>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 Penal y Garantías (límite al Estado)</w:t>
            </w:r>
          </w:p>
        </w:tc>
        <w:tc>
          <w:tcPr/>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Rasgos físicos,  anatómicos, etc. </w:t>
            </w:r>
          </w:p>
        </w:tc>
        <w:tc>
          <w:tcPr/>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Practicas sociales. </w:t>
            </w:r>
          </w:p>
        </w:tc>
      </w:tr>
      <w:tr>
        <w:trPr>
          <w:cantSplit w:val="0"/>
          <w:tblHeader w:val="0"/>
        </w:trPr>
        <w:tc>
          <w:tcPr/>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 el “qué”?</w:t>
            </w:r>
          </w:p>
        </w:tc>
        <w:tc>
          <w:tcPr/>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 por el “por qué?</w:t>
            </w:r>
          </w:p>
        </w:tc>
        <w:tc>
          <w:tcPr/>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 el “cómo”?</w:t>
            </w:r>
          </w:p>
        </w:tc>
      </w:tr>
      <w:tr>
        <w:trPr>
          <w:cantSplit w:val="0"/>
          <w:tblHeader w:val="0"/>
        </w:trPr>
        <w:tc>
          <w:tcPr/>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Filósofos y juristas </w:t>
            </w:r>
          </w:p>
        </w:tc>
        <w:tc>
          <w:tcPr/>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Biólogos, médicos, psicólogos y antropólogos  </w:t>
            </w:r>
          </w:p>
        </w:tc>
        <w:tc>
          <w:tcPr/>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Sociólogos </w:t>
            </w:r>
          </w:p>
        </w:tc>
      </w:tr>
      <w:tr>
        <w:trPr>
          <w:cantSplit w:val="0"/>
          <w:tblHeader w:val="0"/>
        </w:trPr>
        <w:tc>
          <w:tcPr/>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Basado en el liberalismo </w:t>
            </w:r>
          </w:p>
        </w:tc>
        <w:tc>
          <w:tcPr/>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Basado en el determinismo </w:t>
            </w:r>
          </w:p>
        </w:tc>
        <w:tc>
          <w:tcPr/>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Basado en ambos </w:t>
            </w:r>
          </w:p>
        </w:tc>
      </w:tr>
    </w:tbl>
    <w:p w:rsidR="00000000" w:rsidDel="00000000" w:rsidP="00000000" w:rsidRDefault="00000000" w:rsidRPr="00000000" w14:paraId="00000025">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TEORÍAS SOCIOLÓGICAS:</w:t>
      </w:r>
    </w:p>
    <w:p w:rsidR="00000000" w:rsidDel="00000000" w:rsidP="00000000" w:rsidRDefault="00000000" w:rsidRPr="00000000" w14:paraId="00000028">
      <w:pPr>
        <w:spacing w:after="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Escuela de Chicago</w:t>
      </w:r>
      <w:r w:rsidDel="00000000" w:rsidR="00000000" w:rsidRPr="00000000">
        <w:rPr>
          <w:rFonts w:ascii="Times New Roman" w:cs="Times New Roman" w:eastAsia="Times New Roman" w:hAnsi="Times New Roman"/>
          <w:sz w:val="24"/>
          <w:szCs w:val="24"/>
          <w:rtl w:val="0"/>
        </w:rPr>
        <w:t xml:space="preserve">: se aleja de la búsqueda de las causas de la criminalidad en factores bilógicos y antropológicos. Rompen con la utilización de las instituciones de encierro como universo donde estudiar la desviación. Incorpora la metodología cualitativa (entrevistas en profundidad, historias de vida). Incorpora la ciudad como objeto de estudio (manteniendo visiones negativas sobre ciertos barrios –desorganización social- y relacionando criminalidad y pobreza).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Sutherland</w:t>
      </w:r>
      <w:r w:rsidDel="00000000" w:rsidR="00000000" w:rsidRPr="00000000">
        <w:rPr>
          <w:rFonts w:ascii="Times New Roman" w:cs="Times New Roman" w:eastAsia="Times New Roman" w:hAnsi="Times New Roman"/>
          <w:sz w:val="24"/>
          <w:szCs w:val="24"/>
          <w:rtl w:val="0"/>
        </w:rPr>
        <w:t xml:space="preserve">: remplaza la noción de “desorganización social” por “organización social diferenciada” (concepto más respetuoso de la diversidad y pluralidad, que da cuenta de una organización en los barrios marginales atravesada por valores y fines diferentes). </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Teoría de los contactos diferenciales</w:t>
      </w:r>
      <w:r w:rsidDel="00000000" w:rsidR="00000000" w:rsidRPr="00000000">
        <w:rPr>
          <w:rFonts w:ascii="Times New Roman" w:cs="Times New Roman" w:eastAsia="Times New Roman" w:hAnsi="Times New Roman"/>
          <w:sz w:val="24"/>
          <w:szCs w:val="24"/>
          <w:rtl w:val="0"/>
        </w:rPr>
        <w:t xml:space="preserve">: El delito se aprende en las relaciones intersubjetivas (como cualquier comportamiento social). Una persona se convierte en delincuente porque en su medio hay más definiciones favorables a infringir la ley. Todos los estratos sociales aprenden comportamientos (de hecho hay “delitos de los poderosos”).</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Corriente funcionalista</w:t>
      </w:r>
      <w:r w:rsidDel="00000000" w:rsidR="00000000" w:rsidRPr="00000000">
        <w:rPr>
          <w:rFonts w:ascii="Times New Roman" w:cs="Times New Roman" w:eastAsia="Times New Roman" w:hAnsi="Times New Roman"/>
          <w:sz w:val="24"/>
          <w:szCs w:val="24"/>
          <w:rtl w:val="0"/>
        </w:rPr>
        <w:t xml:space="preserve">: (Merton, Parsons) las conductas desviadas se originan por una deficiente introyección individual de los valores universalmente aceptados. El Estado debe producir reformas a nivel individual que permitan superar la falla de socialización para alcanzar una sociedad armónica. </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Merton</w:t>
      </w:r>
      <w:r w:rsidDel="00000000" w:rsidR="00000000" w:rsidRPr="00000000">
        <w:rPr>
          <w:rFonts w:ascii="Times New Roman" w:cs="Times New Roman" w:eastAsia="Times New Roman" w:hAnsi="Times New Roman"/>
          <w:sz w:val="24"/>
          <w:szCs w:val="24"/>
          <w:rtl w:val="0"/>
        </w:rPr>
        <w:t xml:space="preserve">: la desviación es un producto normal de toda sociedad. Hay una contradicción entre estructura cultural -que propone metas o fines- y las posibilidades de acceso real a esas metas y medios impuestos. La conducta desviada es un tipo de adaptación a esa contradicción. </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spacing w:after="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LABELLING APPROACH (ETIQUETAMIENTO):</w:t>
      </w:r>
    </w:p>
    <w:p w:rsidR="00000000" w:rsidDel="00000000" w:rsidP="00000000" w:rsidRDefault="00000000" w:rsidRPr="00000000" w14:paraId="00000032">
      <w:pPr>
        <w:spacing w:after="16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Remplaza la pregunta por las causas de la criminalidad por la pregunta por los procesos por los cuales las personas se definen como criminales. Las sociedades e instituciones reaccionan frente a un hecho, determinándolo como delictivo o desviado. Toma las instituciones de control y castigo como su objeto de estudio (no ya como campos donde localizar delincuentes).   </w:t>
      </w:r>
    </w:p>
    <w:p w:rsidR="00000000" w:rsidDel="00000000" w:rsidP="00000000" w:rsidRDefault="00000000" w:rsidRPr="00000000" w14:paraId="00000033">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